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2CE01" w14:textId="72F37469" w:rsidR="00D42F0D" w:rsidRPr="00D42F0D" w:rsidRDefault="00D42F0D" w:rsidP="00D42F0D">
      <w:pPr>
        <w:jc w:val="center"/>
        <w:rPr>
          <w:rFonts w:ascii="Calibri" w:hAnsi="Calibri" w:cs="Calibri"/>
          <w:sz w:val="18"/>
          <w:szCs w:val="18"/>
        </w:rPr>
      </w:pPr>
      <w:r w:rsidRPr="00D42F0D">
        <w:rPr>
          <w:rFonts w:ascii="Calibri" w:hAnsi="Calibri" w:cs="Calibri"/>
          <w:b/>
          <w:bCs/>
          <w:sz w:val="18"/>
          <w:szCs w:val="18"/>
        </w:rPr>
        <w:t>INFORMATIVA PRIVACY PER I SEGNALANTI - SEGNALAZIONI WHISTLEBLOWING</w:t>
      </w:r>
    </w:p>
    <w:p w14:paraId="6AF5C963" w14:textId="00C5C321" w:rsidR="00D42F0D" w:rsidRPr="00D42F0D" w:rsidRDefault="00D42F0D" w:rsidP="00D42F0D">
      <w:pPr>
        <w:jc w:val="center"/>
        <w:rPr>
          <w:rFonts w:ascii="Calibri" w:hAnsi="Calibri" w:cs="Calibri"/>
          <w:sz w:val="18"/>
          <w:szCs w:val="18"/>
        </w:rPr>
      </w:pPr>
      <w:r w:rsidRPr="00D42F0D">
        <w:rPr>
          <w:rFonts w:ascii="Calibri" w:hAnsi="Calibri" w:cs="Calibri"/>
          <w:b/>
          <w:bCs/>
          <w:sz w:val="18"/>
          <w:szCs w:val="18"/>
        </w:rPr>
        <w:t>Ai sensi dell’art. 13 del Regolamento (UE) 2016/679 e art. 13 del D.lgs. 24/2023</w:t>
      </w:r>
    </w:p>
    <w:p w14:paraId="723BD0AD" w14:textId="5A8690BF"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La società </w:t>
      </w:r>
      <w:proofErr w:type="spellStart"/>
      <w:r w:rsidR="00054AFE">
        <w:rPr>
          <w:rFonts w:ascii="Calibri" w:hAnsi="Calibri" w:cs="Calibri"/>
          <w:sz w:val="18"/>
          <w:szCs w:val="18"/>
        </w:rPr>
        <w:t>Mosaiq</w:t>
      </w:r>
      <w:proofErr w:type="spellEnd"/>
      <w:r w:rsidR="00054AFE">
        <w:rPr>
          <w:rFonts w:ascii="Calibri" w:hAnsi="Calibri" w:cs="Calibri"/>
          <w:sz w:val="18"/>
          <w:szCs w:val="18"/>
        </w:rPr>
        <w:t xml:space="preserve"> Group S.p.A</w:t>
      </w:r>
      <w:r w:rsidRPr="00D42F0D">
        <w:rPr>
          <w:rFonts w:ascii="Calibri" w:hAnsi="Calibri" w:cs="Calibri"/>
          <w:sz w:val="18"/>
          <w:szCs w:val="18"/>
        </w:rPr>
        <w:t>.</w:t>
      </w:r>
      <w:r w:rsidR="00054AFE">
        <w:rPr>
          <w:rFonts w:ascii="Calibri" w:hAnsi="Calibri" w:cs="Calibri"/>
          <w:sz w:val="18"/>
          <w:szCs w:val="18"/>
        </w:rPr>
        <w:t xml:space="preserve">, </w:t>
      </w:r>
      <w:r w:rsidRPr="00D42F0D">
        <w:rPr>
          <w:rFonts w:ascii="Calibri" w:hAnsi="Calibri" w:cs="Calibri"/>
          <w:sz w:val="18"/>
          <w:szCs w:val="18"/>
        </w:rPr>
        <w:t xml:space="preserve">con sede legale in </w:t>
      </w:r>
      <w:r w:rsidR="00054AFE">
        <w:rPr>
          <w:rFonts w:ascii="Calibri" w:hAnsi="Calibri" w:cs="Calibri"/>
          <w:sz w:val="18"/>
          <w:szCs w:val="18"/>
        </w:rPr>
        <w:t>Via Filippo Turati 7, CAP 20121, Milano (MI)</w:t>
      </w:r>
      <w:r w:rsidRPr="00D42F0D">
        <w:rPr>
          <w:rFonts w:ascii="Calibri" w:hAnsi="Calibri" w:cs="Calibri"/>
          <w:sz w:val="18"/>
          <w:szCs w:val="18"/>
        </w:rPr>
        <w:t xml:space="preserve">, CF e P.IVA </w:t>
      </w:r>
      <w:r w:rsidR="00054AFE">
        <w:rPr>
          <w:rFonts w:ascii="Calibri" w:hAnsi="Calibri" w:cs="Calibri"/>
          <w:sz w:val="18"/>
          <w:szCs w:val="18"/>
        </w:rPr>
        <w:t>13550440963</w:t>
      </w:r>
      <w:r w:rsidRPr="00D42F0D">
        <w:rPr>
          <w:rFonts w:ascii="Calibri" w:hAnsi="Calibri" w:cs="Calibri"/>
          <w:sz w:val="18"/>
          <w:szCs w:val="18"/>
        </w:rPr>
        <w:t>,</w:t>
      </w:r>
      <w:r w:rsidR="00054AFE" w:rsidRPr="00054AFE">
        <w:rPr>
          <w:rFonts w:ascii="Calibri" w:hAnsi="Calibri" w:cs="Calibri"/>
          <w:sz w:val="18"/>
          <w:szCs w:val="18"/>
        </w:rPr>
        <w:t xml:space="preserve"> </w:t>
      </w:r>
      <w:r w:rsidR="00054AFE">
        <w:rPr>
          <w:rFonts w:ascii="Calibri" w:hAnsi="Calibri" w:cs="Calibri"/>
          <w:sz w:val="18"/>
          <w:szCs w:val="18"/>
        </w:rPr>
        <w:t xml:space="preserve">e le società del Gruppo </w:t>
      </w:r>
      <w:proofErr w:type="spellStart"/>
      <w:r w:rsidR="00054AFE">
        <w:rPr>
          <w:rFonts w:ascii="Calibri" w:hAnsi="Calibri" w:cs="Calibri"/>
          <w:sz w:val="18"/>
          <w:szCs w:val="18"/>
        </w:rPr>
        <w:t>Mosaiq</w:t>
      </w:r>
      <w:proofErr w:type="spellEnd"/>
      <w:r w:rsidR="00065D4E">
        <w:rPr>
          <w:rFonts w:ascii="Calibri" w:hAnsi="Calibri" w:cs="Calibri"/>
          <w:sz w:val="18"/>
          <w:szCs w:val="18"/>
        </w:rPr>
        <w:t xml:space="preserve"> in qualità di Titolari</w:t>
      </w:r>
      <w:r w:rsidRPr="00D42F0D">
        <w:rPr>
          <w:rFonts w:ascii="Calibri" w:hAnsi="Calibri" w:cs="Calibri"/>
          <w:sz w:val="18"/>
          <w:szCs w:val="18"/>
        </w:rPr>
        <w:t xml:space="preserve"> del Trattamento</w:t>
      </w:r>
      <w:r w:rsidR="00054AFE">
        <w:rPr>
          <w:rFonts w:ascii="Calibri" w:hAnsi="Calibri" w:cs="Calibri"/>
          <w:sz w:val="18"/>
          <w:szCs w:val="18"/>
        </w:rPr>
        <w:t xml:space="preserve"> (di volta in volta destinatarie delle Segnalazioni ricevute)</w:t>
      </w:r>
      <w:r w:rsidRPr="00D42F0D">
        <w:rPr>
          <w:rFonts w:ascii="Calibri" w:hAnsi="Calibri" w:cs="Calibri"/>
          <w:sz w:val="18"/>
          <w:szCs w:val="18"/>
        </w:rPr>
        <w:t xml:space="preserve">, </w:t>
      </w:r>
      <w:r w:rsidR="00054AFE">
        <w:rPr>
          <w:rFonts w:ascii="Calibri" w:hAnsi="Calibri" w:cs="Calibri"/>
          <w:sz w:val="18"/>
          <w:szCs w:val="18"/>
        </w:rPr>
        <w:t>informano</w:t>
      </w:r>
      <w:r w:rsidRPr="00D42F0D">
        <w:rPr>
          <w:rFonts w:ascii="Calibri" w:hAnsi="Calibri" w:cs="Calibri"/>
          <w:sz w:val="18"/>
          <w:szCs w:val="18"/>
        </w:rPr>
        <w:t xml:space="preserve"> sul trattamento dei dati personali raccolti mediante il canale che </w:t>
      </w:r>
      <w:r w:rsidR="00054AFE">
        <w:rPr>
          <w:rFonts w:ascii="Calibri" w:hAnsi="Calibri" w:cs="Calibri"/>
          <w:sz w:val="18"/>
          <w:szCs w:val="18"/>
        </w:rPr>
        <w:t xml:space="preserve">il Gruppo </w:t>
      </w:r>
      <w:proofErr w:type="spellStart"/>
      <w:r w:rsidR="00054AFE">
        <w:rPr>
          <w:rFonts w:ascii="Calibri" w:hAnsi="Calibri" w:cs="Calibri"/>
          <w:sz w:val="18"/>
          <w:szCs w:val="18"/>
        </w:rPr>
        <w:t>Mosaiq</w:t>
      </w:r>
      <w:proofErr w:type="spellEnd"/>
      <w:r w:rsidRPr="00D42F0D">
        <w:rPr>
          <w:rFonts w:ascii="Calibri" w:hAnsi="Calibri" w:cs="Calibri"/>
          <w:sz w:val="18"/>
          <w:szCs w:val="18"/>
        </w:rPr>
        <w:t xml:space="preserve"> ha messo a disposizione di coloro che intendono inviare, secondo quanto previsto dalla procedura </w:t>
      </w:r>
      <w:r w:rsidRPr="00D42F0D">
        <w:rPr>
          <w:rFonts w:ascii="Calibri" w:hAnsi="Calibri" w:cs="Calibri"/>
          <w:i/>
          <w:iCs/>
          <w:sz w:val="18"/>
          <w:szCs w:val="18"/>
        </w:rPr>
        <w:t xml:space="preserve">Whistleblowing </w:t>
      </w:r>
      <w:r w:rsidRPr="00D42F0D">
        <w:rPr>
          <w:rFonts w:ascii="Calibri" w:hAnsi="Calibri" w:cs="Calibri"/>
          <w:sz w:val="18"/>
          <w:szCs w:val="18"/>
        </w:rPr>
        <w:t xml:space="preserve">(di seguito, Procedura), una segnalazione con la relativa documentazione delle violazioni indicate nella procedura stessa, in attuazione di quanto previsto dal D. Lgs 10 marzo 2023, n. 24. </w:t>
      </w:r>
    </w:p>
    <w:p w14:paraId="7BC16478"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CATEGORIE DI DATI PERSONALI </w:t>
      </w:r>
    </w:p>
    <w:p w14:paraId="453857E3"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Verranno tratterà i dati personali pertinenti e inseriti dal Segnalante nella segnalazione effettuata, quali ad esempio: </w:t>
      </w:r>
    </w:p>
    <w:p w14:paraId="1D9088E4"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Dati anagrafici (nome, cognome, data di nascita, cittadinanza e codice fiscale), salvo che sia stata effettuata una segnalazione anonima che contenga gli elementi essenziali previsti dalla Procedura; </w:t>
      </w:r>
    </w:p>
    <w:p w14:paraId="4CE05C1C"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Dati di contatto (numero di telefono, indirizzo e-mail); </w:t>
      </w:r>
    </w:p>
    <w:p w14:paraId="1A0FB44D" w14:textId="7685AD15"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Dati pertinenti al processo di segnalazione (tipo di attività lavorativa svolta, reparto, nominativi di altre persone a conoscenza del fatto, etc. comprese eventuali immagini, video, audio connesse alla segnalazione). </w:t>
      </w:r>
    </w:p>
    <w:p w14:paraId="6784B620"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Le categorie particolari di dati di cui all’art. 9 del GDPR (cioè quelli da cui possono eventualmente desumersi, fra l’altro, l’origine razziale ed etnica, le convinzioni filosofiche e religiose, l’adesione a partiti o sindacati, nonché lo stato di salute la vita sessuale o l’orientamento sessuale) e dati relativi a condanne penale di cui all’art. 10 del GDPR, non dovranno essere trattati salvo i casi in cui ciò sia inevitabile e necessario in quanto esplicitati dal segnalante nella segnalazione e pertinenti alla stessa. In ogni caso, i dati personali manifestamente inutili ai fini della segnalazione saranno immediatamente cancellati. </w:t>
      </w:r>
    </w:p>
    <w:p w14:paraId="694BE6C1"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BASE GIURIDICA E FINALITÀ </w:t>
      </w:r>
    </w:p>
    <w:p w14:paraId="1FE060FE"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Il trattamento dei dati personali avviene per le finalità di acquisizione e gestione delle segnalazioni di fatti illeciti e per la gestione dell'eventuale istruttoria per i successivi procedimenti e/o provvedimenti da attuare. </w:t>
      </w:r>
    </w:p>
    <w:p w14:paraId="7DF5B2CE" w14:textId="7D26DC35" w:rsidR="00D42F0D" w:rsidRPr="00D42F0D" w:rsidRDefault="00054AFE" w:rsidP="00D42F0D">
      <w:pPr>
        <w:jc w:val="both"/>
        <w:rPr>
          <w:rFonts w:ascii="Calibri" w:hAnsi="Calibri" w:cs="Calibri"/>
          <w:sz w:val="18"/>
          <w:szCs w:val="18"/>
        </w:rPr>
      </w:pPr>
      <w:proofErr w:type="spellStart"/>
      <w:r>
        <w:rPr>
          <w:rFonts w:ascii="Calibri" w:hAnsi="Calibri" w:cs="Calibri"/>
          <w:sz w:val="18"/>
          <w:szCs w:val="18"/>
        </w:rPr>
        <w:t>Mosaiq</w:t>
      </w:r>
      <w:proofErr w:type="spellEnd"/>
      <w:r>
        <w:rPr>
          <w:rFonts w:ascii="Calibri" w:hAnsi="Calibri" w:cs="Calibri"/>
          <w:sz w:val="18"/>
          <w:szCs w:val="18"/>
        </w:rPr>
        <w:t xml:space="preserve"> Group S.p.A.</w:t>
      </w:r>
      <w:r w:rsidR="00D42F0D" w:rsidRPr="00D42F0D">
        <w:rPr>
          <w:rFonts w:ascii="Calibri" w:hAnsi="Calibri" w:cs="Calibri"/>
          <w:sz w:val="18"/>
          <w:szCs w:val="18"/>
        </w:rPr>
        <w:t xml:space="preserve"> ha adottato un Modello di Organizzazione, Gestione e Controllo ai sensi del Decreto Legislativo 231/2001, comunemente noto come Modello 231. Questo sistema volontario è concepito per prevenire la commissione di reati all'interno dell'azienda, attraverso l'istituzione di protocolli e misure di controllo interne. Con l'implementazione del Modello 231, la società si impegna a garantire la massima </w:t>
      </w:r>
      <w:r w:rsidR="00D42F0D" w:rsidRPr="00054AFE">
        <w:rPr>
          <w:rFonts w:ascii="Calibri" w:hAnsi="Calibri" w:cs="Calibri"/>
          <w:sz w:val="18"/>
          <w:szCs w:val="18"/>
        </w:rPr>
        <w:t xml:space="preserve">trasparenza e legalità nelle proprie operazioni, riducendo i rischi associati a comportamenti illeciti e promuovendo una cultura aziendale incentrata sulla conformità e sulla responsabilità. Fatta questa premessa, è possibile affermare che la base legale per il trattamento dei dati è il </w:t>
      </w:r>
      <w:r w:rsidR="00D42F0D" w:rsidRPr="00054AFE">
        <w:rPr>
          <w:rFonts w:ascii="Calibri" w:hAnsi="Calibri" w:cs="Calibri"/>
          <w:bCs/>
          <w:sz w:val="18"/>
          <w:szCs w:val="18"/>
        </w:rPr>
        <w:t xml:space="preserve">legittimo interesse del titolare </w:t>
      </w:r>
      <w:r w:rsidR="00D42F0D" w:rsidRPr="00054AFE">
        <w:rPr>
          <w:rFonts w:ascii="Calibri" w:hAnsi="Calibri" w:cs="Calibri"/>
          <w:sz w:val="18"/>
          <w:szCs w:val="18"/>
        </w:rPr>
        <w:t xml:space="preserve">(ai sensi dell'art. 6.1. lett. f del GDPR), derivante dall'adesione volontaria al Modello 231. Inoltre, vi è l'adempimento di un </w:t>
      </w:r>
      <w:r w:rsidR="00D42F0D" w:rsidRPr="00054AFE">
        <w:rPr>
          <w:rFonts w:ascii="Calibri" w:hAnsi="Calibri" w:cs="Calibri"/>
          <w:bCs/>
          <w:sz w:val="18"/>
          <w:szCs w:val="18"/>
        </w:rPr>
        <w:t xml:space="preserve">obbligo di legge </w:t>
      </w:r>
      <w:r w:rsidR="00D42F0D" w:rsidRPr="00054AFE">
        <w:rPr>
          <w:rFonts w:ascii="Calibri" w:hAnsi="Calibri" w:cs="Calibri"/>
          <w:sz w:val="18"/>
          <w:szCs w:val="18"/>
        </w:rPr>
        <w:t>a cui il titolare</w:t>
      </w:r>
      <w:r w:rsidR="00D42F0D" w:rsidRPr="00D42F0D">
        <w:rPr>
          <w:rFonts w:ascii="Calibri" w:hAnsi="Calibri" w:cs="Calibri"/>
          <w:sz w:val="18"/>
          <w:szCs w:val="18"/>
        </w:rPr>
        <w:t xml:space="preserve"> è soggetto (ai sensi dell'art. 6.1. lett. c del GDPR). Infatti, il Decreto Legislativo 24/2023 stabilisce l'obbligatorietà di canali interni di segnalazione nel c</w:t>
      </w:r>
      <w:r>
        <w:rPr>
          <w:rFonts w:ascii="Calibri" w:hAnsi="Calibri" w:cs="Calibri"/>
          <w:sz w:val="18"/>
          <w:szCs w:val="18"/>
        </w:rPr>
        <w:t>aso di adozione del Modello 231.</w:t>
      </w:r>
    </w:p>
    <w:p w14:paraId="55D9946D"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MODALITÀ DI TRATTAMENTO </w:t>
      </w:r>
    </w:p>
    <w:p w14:paraId="172002BA" w14:textId="2BF4EDA2"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Le segnalazioni vengono ricevute e gestite dall'Organismo di Vigilanza (OdV) della società, che riveste anche il ruolo di Gestore delle segnalazioni, attraverso la piattaforma </w:t>
      </w:r>
      <w:r w:rsidR="00BC7612">
        <w:rPr>
          <w:rFonts w:ascii="Calibri" w:hAnsi="Calibri" w:cs="Calibri"/>
          <w:sz w:val="18"/>
          <w:szCs w:val="18"/>
        </w:rPr>
        <w:t xml:space="preserve">GIS WB - </w:t>
      </w:r>
      <w:proofErr w:type="spellStart"/>
      <w:r w:rsidR="00BC7612">
        <w:rPr>
          <w:rFonts w:ascii="Calibri" w:hAnsi="Calibri" w:cs="Calibri"/>
          <w:sz w:val="18"/>
          <w:szCs w:val="18"/>
        </w:rPr>
        <w:t>Whistleblowing</w:t>
      </w:r>
      <w:proofErr w:type="spellEnd"/>
      <w:r w:rsidRPr="00D42F0D">
        <w:rPr>
          <w:rFonts w:ascii="Calibri" w:hAnsi="Calibri" w:cs="Calibri"/>
          <w:sz w:val="18"/>
          <w:szCs w:val="18"/>
        </w:rPr>
        <w:t xml:space="preserve"> disponibile sul sito internet aziendale. I dati personali vengono acquisiti attraverso l’inserimento degli stessi, da parte del segnalante, sulla piattaforma in questione. Il trattamento dei dati personali avviene mediante strumenti telematici, con modalità strettamente correlate alle finalità previste e garantendo, in ogni caso, la riservatezza e la sicurezza dei dati personali, nel rispetto dei principi stabiliti dall'articolo 32 del GDPR. </w:t>
      </w:r>
    </w:p>
    <w:p w14:paraId="4550C182" w14:textId="4747027D"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Il Titolare del trattamento si avvale di Responsabili del trattamento per l’istituzione e la gestione del canale di segnalazione interno, i quali sono stati designati mediante un accordo scritto ai sensi dell’art. 28 del GDPR. L’elenco completo dei Responsabili del trattamento è custodito presso il Titolare del trattamento, il quale si impegna ad aggiornarlo costantemente e a fornirlo tempestivamente agli Interessati che ne faranno richiesta. </w:t>
      </w:r>
    </w:p>
    <w:p w14:paraId="461C6627"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COMUNICAZIONE DEI DATI PERSONALI </w:t>
      </w:r>
    </w:p>
    <w:p w14:paraId="4A87BC69" w14:textId="7472F1F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Ai sensi dell’articolo 13 del Regolamento UE 2016/679 (GDPR), il Titolare garantisce che i dati personali forniti dai segnalanti attraverso la piattaforma </w:t>
      </w:r>
      <w:r w:rsidR="00BC7612">
        <w:rPr>
          <w:rFonts w:ascii="Calibri" w:hAnsi="Calibri" w:cs="Calibri"/>
          <w:sz w:val="18"/>
          <w:szCs w:val="18"/>
        </w:rPr>
        <w:t xml:space="preserve">GIS WB – </w:t>
      </w:r>
      <w:proofErr w:type="spellStart"/>
      <w:r w:rsidR="00BC7612">
        <w:rPr>
          <w:rFonts w:ascii="Calibri" w:hAnsi="Calibri" w:cs="Calibri"/>
          <w:sz w:val="18"/>
          <w:szCs w:val="18"/>
        </w:rPr>
        <w:t>Whistleblowing</w:t>
      </w:r>
      <w:proofErr w:type="spellEnd"/>
      <w:r w:rsidR="00BC7612">
        <w:rPr>
          <w:rFonts w:ascii="Calibri" w:hAnsi="Calibri" w:cs="Calibri"/>
          <w:sz w:val="18"/>
          <w:szCs w:val="18"/>
        </w:rPr>
        <w:t xml:space="preserve"> </w:t>
      </w:r>
      <w:r w:rsidRPr="00D42F0D">
        <w:rPr>
          <w:rFonts w:ascii="Calibri" w:hAnsi="Calibri" w:cs="Calibri"/>
          <w:sz w:val="18"/>
          <w:szCs w:val="18"/>
        </w:rPr>
        <w:t xml:space="preserve">verranno trattati con la massima riservatezza e in conformità con le normative sulla protezione dei dati. I dati personali dei segnalanti saranno accessibili al Gestore delle segnalazioni, incaricato di ricevere, esaminare e trattare le segnalazioni stesse. La piattaforma informatica impiegata consente la compilazione, l'invio e la ricezione di segnalazioni </w:t>
      </w:r>
      <w:r w:rsidRPr="00D42F0D">
        <w:rPr>
          <w:rFonts w:ascii="Calibri" w:hAnsi="Calibri" w:cs="Calibri"/>
          <w:sz w:val="18"/>
          <w:szCs w:val="18"/>
        </w:rPr>
        <w:lastRenderedPageBreak/>
        <w:t xml:space="preserve">riguardanti presunti illeciti, nonché la facoltà per il Gestore delle segnalazioni, che le riceve, di comunicare in forma riservata con il segnalante. </w:t>
      </w:r>
    </w:p>
    <w:p w14:paraId="5453E49B"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Si precisa che, nei casi in cui sia necessario procedere con indagini interne per accertare la validità della segnalazione e adottare misure appropriate, i dati personali potrebbero essere comunicati a soggetti terzi autorizzati a tal fine, a titolo esemplificativo ma non esaustivo: </w:t>
      </w:r>
    </w:p>
    <w:p w14:paraId="3175EDB2"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Autorità competenti o organi giurisdizionali, ove richiesto dalla legge o per l'adempimento di obblighi legali; </w:t>
      </w:r>
    </w:p>
    <w:p w14:paraId="142C81E9"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Investigatori privati o esperti indipendenti, nel caso in cui siano necessari per lo svolgimento di indagini interne, sempre nel rispetto della riservatezza del segnalante e solo per le finalità strettamente collegate alla gestione della segnalazione; </w:t>
      </w:r>
    </w:p>
    <w:p w14:paraId="0A807C9F"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Consulenti legali o altre figure professionali, se necessario per garantire la corretta gestione delle segnalazioni e per tutelare i diritti della società e dei segnalanti; </w:t>
      </w:r>
    </w:p>
    <w:p w14:paraId="043C6108" w14:textId="28AD0238"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Organi di controllo o di compliance aziendale. </w:t>
      </w:r>
    </w:p>
    <w:p w14:paraId="1B631F57" w14:textId="69F53D7E"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Tali soggetti avranno accesso ai dati personali solo nella misura strettamente necessaria per eseguire le indagini o per adempiere agli obblighi legali connessi alla gestione della segnalazione. In ogni caso, </w:t>
      </w:r>
      <w:proofErr w:type="spellStart"/>
      <w:r w:rsidR="00054AFE">
        <w:rPr>
          <w:rFonts w:ascii="Calibri" w:hAnsi="Calibri" w:cs="Calibri"/>
          <w:sz w:val="18"/>
          <w:szCs w:val="18"/>
        </w:rPr>
        <w:t>Mosaiq</w:t>
      </w:r>
      <w:proofErr w:type="spellEnd"/>
      <w:r w:rsidR="00054AFE">
        <w:rPr>
          <w:rFonts w:ascii="Calibri" w:hAnsi="Calibri" w:cs="Calibri"/>
          <w:sz w:val="18"/>
          <w:szCs w:val="18"/>
        </w:rPr>
        <w:t xml:space="preserve"> Group S.p.A. e le Società del Gruppo</w:t>
      </w:r>
      <w:r w:rsidRPr="00D42F0D">
        <w:rPr>
          <w:rFonts w:ascii="Calibri" w:hAnsi="Calibri" w:cs="Calibri"/>
          <w:sz w:val="18"/>
          <w:szCs w:val="18"/>
        </w:rPr>
        <w:t xml:space="preserve"> adotta</w:t>
      </w:r>
      <w:r w:rsidR="00054AFE">
        <w:rPr>
          <w:rFonts w:ascii="Calibri" w:hAnsi="Calibri" w:cs="Calibri"/>
          <w:sz w:val="18"/>
          <w:szCs w:val="18"/>
        </w:rPr>
        <w:t>no</w:t>
      </w:r>
      <w:r w:rsidRPr="00D42F0D">
        <w:rPr>
          <w:rFonts w:ascii="Calibri" w:hAnsi="Calibri" w:cs="Calibri"/>
          <w:sz w:val="18"/>
          <w:szCs w:val="18"/>
        </w:rPr>
        <w:t xml:space="preserve"> tutte le misure tecniche e organizzative idonee a garantire che la comunicazione e il trattamento dei dati avvengano nel rispetto dei principi di minimizzazione e limitazione della finalità, assicurando che l'accesso ai dati sia limitato a quanto strettamente necessario per le finalità sopra indicate. I dati personali non saranno in alcun caso divulgati a soggetti terzi non autorizzati, né saranno diffusi. </w:t>
      </w:r>
    </w:p>
    <w:p w14:paraId="44B5FF42"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CONSERVAZIONE DEI DATI </w:t>
      </w:r>
    </w:p>
    <w:p w14:paraId="150E58BA"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Le segnalazioni e la relativa documentazione sono conservate per il tempo necessario al trattamento della segnalazione e, se del caso, all’adozione dei provvedimenti disciplinari conseguenti e/o all’esaurirsi di eventuali contenziosi avviati a seguito della segnalazione, e comunque non oltre cinque anni a decorrere dalla data della comunicazione dell'esito finale della procedura di segnalazione, nel rispetto degli obblighi di riservatezza di cui all'articolo 12 del </w:t>
      </w:r>
      <w:proofErr w:type="spellStart"/>
      <w:proofErr w:type="gramStart"/>
      <w:r w:rsidRPr="00D42F0D">
        <w:rPr>
          <w:rFonts w:ascii="Calibri" w:hAnsi="Calibri" w:cs="Calibri"/>
          <w:sz w:val="18"/>
          <w:szCs w:val="18"/>
        </w:rPr>
        <w:t>D.Lgs</w:t>
      </w:r>
      <w:proofErr w:type="gramEnd"/>
      <w:r w:rsidRPr="00D42F0D">
        <w:rPr>
          <w:rFonts w:ascii="Calibri" w:hAnsi="Calibri" w:cs="Calibri"/>
          <w:sz w:val="18"/>
          <w:szCs w:val="18"/>
        </w:rPr>
        <w:t>.</w:t>
      </w:r>
      <w:proofErr w:type="spellEnd"/>
      <w:r w:rsidRPr="00D42F0D">
        <w:rPr>
          <w:rFonts w:ascii="Calibri" w:hAnsi="Calibri" w:cs="Calibri"/>
          <w:sz w:val="18"/>
          <w:szCs w:val="18"/>
        </w:rPr>
        <w:t xml:space="preserve"> 24/2023 e del principio di cui agli articoli 5, paragrafo 1, lettera e), del regolamento (UE) 2016/679 e 3, comm</w:t>
      </w:r>
      <w:bookmarkStart w:id="0" w:name="_GoBack"/>
      <w:bookmarkEnd w:id="0"/>
      <w:r w:rsidRPr="00D42F0D">
        <w:rPr>
          <w:rFonts w:ascii="Calibri" w:hAnsi="Calibri" w:cs="Calibri"/>
          <w:sz w:val="18"/>
          <w:szCs w:val="18"/>
        </w:rPr>
        <w:t xml:space="preserve">a 1, lettera e), del decreto legislativo n. 51 del 2018. </w:t>
      </w:r>
    </w:p>
    <w:p w14:paraId="626E9190"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TRASFERIMENTO DEI DATI PERSONALI AL DI FUORI DELL'UE </w:t>
      </w:r>
    </w:p>
    <w:p w14:paraId="46D331C8"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Per questa tipologia di trattamento non è previsto un trasferimento di dati personali fuori dall'Unione Europea. </w:t>
      </w:r>
    </w:p>
    <w:p w14:paraId="68CA9479"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DIRITTI DELL’INTERESSATO </w:t>
      </w:r>
    </w:p>
    <w:p w14:paraId="3EAED899"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Gli Interessati possono esercitare i diritti previsti dagli articoli 15-22 del GDPR, in particolare: </w:t>
      </w:r>
    </w:p>
    <w:p w14:paraId="54B83BF9"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l’accesso ai dati personali, come previsto dall’art. 15 del GDPR; </w:t>
      </w:r>
    </w:p>
    <w:p w14:paraId="3AE1A9DB"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la rettifica o l’integrazione dei Dati personali in possesso della Società ritenuti inesatti, come previsto dall’art. 16 del GDPR; </w:t>
      </w:r>
    </w:p>
    <w:p w14:paraId="1F8FB609" w14:textId="36D325CE"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la cancellazione dei dati personali per il quale la Società non ha più alcun presupposto giuridico per il trattamento, come previsto dall’art. 17 del GDPR; </w:t>
      </w:r>
    </w:p>
    <w:p w14:paraId="6747469E"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la limitazione del modo in cui la società tratta i dati personali, qualora ricorra una delle ipotesi previsti dall’art. 18 del GDPR; </w:t>
      </w:r>
    </w:p>
    <w:p w14:paraId="346D02F3"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la copia dei dati personali da forniti alla società, in un formato strutturato, di uso comune e leggibile da dispositivo automatico, nonché la trasmissione di tali dati personali ad un altro titolare del trattamento (cd. portabilità), come previsto dall’art. 20 del GDPR; </w:t>
      </w:r>
    </w:p>
    <w:p w14:paraId="5516FF2A"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diritto di opporsi in qualsiasi momento, per motivi connessi alla sua situazione particolare, al trattamento dei dati personali per il perseguimento del proprio legittimo interesse, come previsto dall’art. 21 del GDPR; </w:t>
      </w:r>
    </w:p>
    <w:p w14:paraId="54BA02E6" w14:textId="79DA9705"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 il diritto di non essere sottoposto a decisioni automatizzate, inclusa la profilazione, come previso dall’articolo 22 del GDPR. </w:t>
      </w:r>
    </w:p>
    <w:p w14:paraId="7F0E0519" w14:textId="4CDA2853"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Gli Interessati possono esercitare i suddetti diritti nei confronti del Titolare del trattamento, scrivendo una </w:t>
      </w:r>
      <w:r w:rsidR="005B294F">
        <w:rPr>
          <w:rFonts w:ascii="Calibri" w:hAnsi="Calibri" w:cs="Calibri"/>
          <w:sz w:val="18"/>
          <w:szCs w:val="18"/>
        </w:rPr>
        <w:t>PEC</w:t>
      </w:r>
      <w:r w:rsidRPr="00D42F0D">
        <w:rPr>
          <w:rFonts w:ascii="Calibri" w:hAnsi="Calibri" w:cs="Calibri"/>
          <w:sz w:val="18"/>
          <w:szCs w:val="18"/>
        </w:rPr>
        <w:t xml:space="preserve"> avente ad oggetto “diritti privacy” all’indirizzo </w:t>
      </w:r>
      <w:r w:rsidR="005B294F">
        <w:rPr>
          <w:rFonts w:ascii="Calibri" w:hAnsi="Calibri" w:cs="Calibri"/>
          <w:sz w:val="18"/>
          <w:szCs w:val="18"/>
        </w:rPr>
        <w:t xml:space="preserve">PEC </w:t>
      </w:r>
      <w:r w:rsidR="00890A05">
        <w:rPr>
          <w:rFonts w:ascii="Calibri" w:hAnsi="Calibri" w:cs="Calibri"/>
          <w:sz w:val="18"/>
          <w:szCs w:val="18"/>
        </w:rPr>
        <w:t>mosaiqgroup@legalmail.it</w:t>
      </w:r>
      <w:r w:rsidRPr="00D42F0D">
        <w:rPr>
          <w:rFonts w:ascii="Calibri" w:hAnsi="Calibri" w:cs="Calibri"/>
          <w:sz w:val="18"/>
          <w:szCs w:val="18"/>
        </w:rPr>
        <w:t xml:space="preserve">. Qualora dall’esercizio dei diritti possa derivare un pregiudizio alla tutela della riservatezza dell’identità del segnalante o delle eventuali altre persone menzionate nella segnalazione è preclusa la possibilità di rivolgersi al Titolare del trattamento, e in tal caso la richiesta deve essere effettuata direttamente all’Organismo di Vigilanza in qualità di Gestore delle segnalazioni inviando una e-mail all’indirizzo </w:t>
      </w:r>
      <w:r w:rsidR="009E7C14" w:rsidRPr="009E7C14">
        <w:rPr>
          <w:rFonts w:ascii="Calibri" w:hAnsi="Calibri" w:cs="Calibri"/>
          <w:sz w:val="18"/>
          <w:szCs w:val="18"/>
        </w:rPr>
        <w:t>whistleblowing@mosaiqgroup.org</w:t>
      </w:r>
    </w:p>
    <w:p w14:paraId="57E67E3A" w14:textId="77777777" w:rsidR="00D42F0D" w:rsidRPr="00D42F0D" w:rsidRDefault="00D42F0D" w:rsidP="00D42F0D">
      <w:pPr>
        <w:jc w:val="both"/>
        <w:rPr>
          <w:rFonts w:ascii="Calibri" w:hAnsi="Calibri" w:cs="Calibri"/>
          <w:sz w:val="18"/>
          <w:szCs w:val="18"/>
        </w:rPr>
      </w:pPr>
      <w:r w:rsidRPr="00D42F0D">
        <w:rPr>
          <w:rFonts w:ascii="Calibri" w:hAnsi="Calibri" w:cs="Calibri"/>
          <w:sz w:val="18"/>
          <w:szCs w:val="18"/>
        </w:rPr>
        <w:t xml:space="preserve">Si ricorda che, trattandosi di segnalazioni Whistleblowing, l’art. 13 del </w:t>
      </w:r>
      <w:proofErr w:type="spellStart"/>
      <w:r w:rsidRPr="00D42F0D">
        <w:rPr>
          <w:rFonts w:ascii="Calibri" w:hAnsi="Calibri" w:cs="Calibri"/>
          <w:sz w:val="18"/>
          <w:szCs w:val="18"/>
        </w:rPr>
        <w:t>D.lgs</w:t>
      </w:r>
      <w:proofErr w:type="spellEnd"/>
      <w:r w:rsidRPr="00D42F0D">
        <w:rPr>
          <w:rFonts w:ascii="Calibri" w:hAnsi="Calibri" w:cs="Calibri"/>
          <w:sz w:val="18"/>
          <w:szCs w:val="18"/>
        </w:rPr>
        <w:t xml:space="preserve"> 24/2023 prevede che l’esercizio dei suddetti diritti potrebbe essere limitato ai sensi e per gli effetti di cui all’art. 2-undecies, primo comma lett. f) del Codice Privacy, nel caso in cui </w:t>
      </w:r>
      <w:r w:rsidRPr="00D42F0D">
        <w:rPr>
          <w:rFonts w:ascii="Calibri" w:hAnsi="Calibri" w:cs="Calibri"/>
          <w:sz w:val="18"/>
          <w:szCs w:val="18"/>
        </w:rPr>
        <w:lastRenderedPageBreak/>
        <w:t xml:space="preserve">dall’esercizio degli stessi possa derivare un pregiudizio concreto ed effettivo alla riservatezza dell’identità della persona segnalante. Quando i diritti dell’Interessato sono limitati per le situazioni relative all’art. 2 </w:t>
      </w:r>
      <w:proofErr w:type="spellStart"/>
      <w:r w:rsidRPr="00D42F0D">
        <w:rPr>
          <w:rFonts w:ascii="Calibri" w:hAnsi="Calibri" w:cs="Calibri"/>
          <w:sz w:val="18"/>
          <w:szCs w:val="18"/>
        </w:rPr>
        <w:t>undecies</w:t>
      </w:r>
      <w:proofErr w:type="spellEnd"/>
      <w:r w:rsidRPr="00D42F0D">
        <w:rPr>
          <w:rFonts w:ascii="Calibri" w:hAnsi="Calibri" w:cs="Calibri"/>
          <w:sz w:val="18"/>
          <w:szCs w:val="18"/>
        </w:rPr>
        <w:t xml:space="preserve"> del Codice Privacy, l’Interessato può rivolgersi direttamente al Garante per la protezione dei dati personali (ai sensi di quanto previsto dal comma 3 del medesimo articolo). Infine, gli Interessati hanno la facoltà di adire le opportune sedi giudiziarie. </w:t>
      </w:r>
    </w:p>
    <w:p w14:paraId="40855182" w14:textId="77777777" w:rsidR="00D42F0D" w:rsidRPr="00D42F0D" w:rsidRDefault="00D42F0D" w:rsidP="00D42F0D">
      <w:pPr>
        <w:jc w:val="both"/>
        <w:rPr>
          <w:rFonts w:ascii="Calibri" w:hAnsi="Calibri" w:cs="Calibri"/>
          <w:sz w:val="18"/>
          <w:szCs w:val="18"/>
        </w:rPr>
      </w:pPr>
      <w:r w:rsidRPr="00D42F0D">
        <w:rPr>
          <w:rFonts w:ascii="Calibri" w:hAnsi="Calibri" w:cs="Calibri"/>
          <w:b/>
          <w:bCs/>
          <w:sz w:val="18"/>
          <w:szCs w:val="18"/>
        </w:rPr>
        <w:t xml:space="preserve">AGGIORNAMENTI </w:t>
      </w:r>
    </w:p>
    <w:p w14:paraId="47A15F5D" w14:textId="5594CB48" w:rsidR="00E82253" w:rsidRPr="00D42F0D" w:rsidRDefault="00D42F0D" w:rsidP="00D42F0D">
      <w:pPr>
        <w:jc w:val="both"/>
        <w:rPr>
          <w:rFonts w:ascii="Calibri" w:hAnsi="Calibri" w:cs="Calibri"/>
          <w:sz w:val="18"/>
          <w:szCs w:val="18"/>
        </w:rPr>
      </w:pPr>
      <w:r w:rsidRPr="00D42F0D">
        <w:rPr>
          <w:rFonts w:ascii="Calibri" w:hAnsi="Calibri" w:cs="Calibri"/>
          <w:sz w:val="18"/>
          <w:szCs w:val="18"/>
        </w:rPr>
        <w:t>Il Titolare del trattamento aggiorna le politiche e le prassi interne adottate nella protezione dei dati personali ogni qualvolta sia necessario ed in caso di modifiche normative e organizzative che abbiano rilevanza sul trattamento dei dati personali in questione.</w:t>
      </w:r>
    </w:p>
    <w:sectPr w:rsidR="00E82253" w:rsidRPr="00D42F0D">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D54DF9" w14:textId="77777777" w:rsidR="001B3D40" w:rsidRDefault="001B3D40" w:rsidP="001B3D40">
      <w:pPr>
        <w:spacing w:after="0" w:line="240" w:lineRule="auto"/>
      </w:pPr>
      <w:r>
        <w:separator/>
      </w:r>
    </w:p>
  </w:endnote>
  <w:endnote w:type="continuationSeparator" w:id="0">
    <w:p w14:paraId="60370894" w14:textId="77777777" w:rsidR="001B3D40" w:rsidRDefault="001B3D40" w:rsidP="001B3D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2955E3" w14:textId="77777777" w:rsidR="001B3D40" w:rsidRDefault="001B3D40" w:rsidP="001B3D40">
      <w:pPr>
        <w:spacing w:after="0" w:line="240" w:lineRule="auto"/>
      </w:pPr>
      <w:r>
        <w:separator/>
      </w:r>
    </w:p>
  </w:footnote>
  <w:footnote w:type="continuationSeparator" w:id="0">
    <w:p w14:paraId="7773281A" w14:textId="77777777" w:rsidR="001B3D40" w:rsidRDefault="001B3D40" w:rsidP="001B3D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53"/>
    <w:rsid w:val="00054AFE"/>
    <w:rsid w:val="00065D4E"/>
    <w:rsid w:val="001B3D40"/>
    <w:rsid w:val="005A05DD"/>
    <w:rsid w:val="005B2913"/>
    <w:rsid w:val="005B294F"/>
    <w:rsid w:val="00801BAC"/>
    <w:rsid w:val="00890A05"/>
    <w:rsid w:val="009E7C14"/>
    <w:rsid w:val="00BC7612"/>
    <w:rsid w:val="00D42F0D"/>
    <w:rsid w:val="00E822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A34F"/>
  <w15:chartTrackingRefBased/>
  <w15:docId w15:val="{D8BB5B02-CBB1-4C01-8232-B5D6EC59B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E822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22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2253"/>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2253"/>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2253"/>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225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225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225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225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2253"/>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2253"/>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2253"/>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2253"/>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2253"/>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225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225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225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2253"/>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22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225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225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225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225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2253"/>
    <w:rPr>
      <w:i/>
      <w:iCs/>
      <w:color w:val="404040" w:themeColor="text1" w:themeTint="BF"/>
    </w:rPr>
  </w:style>
  <w:style w:type="paragraph" w:styleId="Paragrafoelenco">
    <w:name w:val="List Paragraph"/>
    <w:basedOn w:val="Normale"/>
    <w:uiPriority w:val="34"/>
    <w:qFormat/>
    <w:rsid w:val="00E82253"/>
    <w:pPr>
      <w:ind w:left="720"/>
      <w:contextualSpacing/>
    </w:pPr>
  </w:style>
  <w:style w:type="character" w:styleId="Enfasiintensa">
    <w:name w:val="Intense Emphasis"/>
    <w:basedOn w:val="Carpredefinitoparagrafo"/>
    <w:uiPriority w:val="21"/>
    <w:qFormat/>
    <w:rsid w:val="00E82253"/>
    <w:rPr>
      <w:i/>
      <w:iCs/>
      <w:color w:val="0F4761" w:themeColor="accent1" w:themeShade="BF"/>
    </w:rPr>
  </w:style>
  <w:style w:type="paragraph" w:styleId="Citazioneintensa">
    <w:name w:val="Intense Quote"/>
    <w:basedOn w:val="Normale"/>
    <w:next w:val="Normale"/>
    <w:link w:val="CitazioneintensaCarattere"/>
    <w:uiPriority w:val="30"/>
    <w:qFormat/>
    <w:rsid w:val="00E822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2253"/>
    <w:rPr>
      <w:i/>
      <w:iCs/>
      <w:color w:val="0F4761" w:themeColor="accent1" w:themeShade="BF"/>
    </w:rPr>
  </w:style>
  <w:style w:type="character" w:styleId="Riferimentointenso">
    <w:name w:val="Intense Reference"/>
    <w:basedOn w:val="Carpredefinitoparagrafo"/>
    <w:uiPriority w:val="32"/>
    <w:qFormat/>
    <w:rsid w:val="00E82253"/>
    <w:rPr>
      <w:b/>
      <w:bCs/>
      <w:smallCaps/>
      <w:color w:val="0F4761" w:themeColor="accent1" w:themeShade="BF"/>
      <w:spacing w:val="5"/>
    </w:rPr>
  </w:style>
  <w:style w:type="paragraph" w:styleId="Intestazione">
    <w:name w:val="header"/>
    <w:basedOn w:val="Normale"/>
    <w:link w:val="IntestazioneCarattere"/>
    <w:uiPriority w:val="99"/>
    <w:unhideWhenUsed/>
    <w:rsid w:val="001B3D4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3D40"/>
  </w:style>
  <w:style w:type="paragraph" w:styleId="Pidipagina">
    <w:name w:val="footer"/>
    <w:basedOn w:val="Normale"/>
    <w:link w:val="PidipaginaCarattere"/>
    <w:uiPriority w:val="99"/>
    <w:unhideWhenUsed/>
    <w:rsid w:val="001B3D4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3D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78</TotalTime>
  <Pages>3</Pages>
  <Words>1583</Words>
  <Characters>9026</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Becherucci</dc:creator>
  <cp:keywords/>
  <dc:description/>
  <cp:lastModifiedBy>Alberto Sapuppo</cp:lastModifiedBy>
  <cp:revision>7</cp:revision>
  <dcterms:created xsi:type="dcterms:W3CDTF">2025-10-24T08:18:00Z</dcterms:created>
  <dcterms:modified xsi:type="dcterms:W3CDTF">2025-10-24T14:22:00Z</dcterms:modified>
</cp:coreProperties>
</file>